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Bayazit Tayfun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D-MARKET Electronic Services &amp; Trading</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HEPS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17"/>
        <w:spacing w:after="0" w:line="275" w:lineRule="auto"/>
        <w:rPr>
          <w:sz w:val="20"/>
          <w:szCs w:val="20"/>
          <w:color w:val="auto"/>
        </w:rPr>
      </w:pPr>
      <w:r>
        <w:rPr>
          <w:rFonts w:ascii="Times New Roman" w:cs="Times New Roman" w:eastAsia="Times New Roman" w:hAnsi="Times New Roman"/>
          <w:sz w:val="20"/>
          <w:szCs w:val="20"/>
          <w:color w:val="0000FF"/>
        </w:rPr>
        <w:t>KUSTEPE MAH. MECIDIYEKOY YOLU CAD.</w:t>
      </w:r>
    </w:p>
    <w:p>
      <w:pPr>
        <w:spacing w:after="0" w:line="13"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TRUMP TOWERS TOWER:2 NO:12 FLOOR:2 SISLI</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ISTANBUL W8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34387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jc w:val="both"/>
        <w:ind w:left="40" w:right="440"/>
        <w:spacing w:after="0" w:line="244" w:lineRule="auto"/>
        <w:rPr>
          <w:sz w:val="20"/>
          <w:szCs w:val="20"/>
          <w:color w:val="auto"/>
        </w:rPr>
      </w:pPr>
      <w:r>
        <w:rPr>
          <w:rFonts w:ascii="Times New Roman" w:cs="Times New Roman" w:eastAsia="Times New Roman" w:hAnsi="Times New Roman"/>
          <w:sz w:val="15"/>
          <w:szCs w:val="15"/>
          <w:color w:val="008000"/>
        </w:rPr>
        <w:t>Exhibit List: Exhibit 24 - Power of Attorney. This Form 3 is being filed late due to an administrative delay in obtaining the reporting person's EDGAR filing credentials. With respect to the untimely filing of this Form 3, the reporting person intends to rely on the no-action relief available to directors and officers of foreign private issuers pursuant to Question 6 of the Holding Foreign Insiders Accountable Act FAQ (added on March 12, 2026).</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Zeynep Tuana Temel,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255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2555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Tayfun 03/27/2026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Bayazit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784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7846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64"/>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ind w:left="4540"/>
              <w:spacing w:after="0"/>
              <w:rPr>
                <w:sz w:val="20"/>
                <w:szCs w:val="20"/>
                <w:color w:val="auto"/>
              </w:rPr>
            </w:pPr>
            <w:r>
              <w:rPr>
                <w:rFonts w:ascii="Times New Roman" w:cs="Times New Roman" w:eastAsia="Times New Roman" w:hAnsi="Times New Roman"/>
                <w:sz w:val="20"/>
                <w:szCs w:val="20"/>
                <w:b w:val="1"/>
                <w:bCs w:val="1"/>
                <w:color w:val="auto"/>
                <w:w w:val="95"/>
              </w:rPr>
              <w:t>Exhibit 24</w:t>
            </w:r>
          </w:p>
        </w:tc>
      </w:tr>
      <w:tr>
        <w:trPr>
          <w:trHeight w:val="240"/>
        </w:trPr>
        <w:tc>
          <w:tcPr>
            <w:tcW w:w="5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325"/>
        </w:trPr>
        <w:tc>
          <w:tcPr>
            <w:tcW w:w="5380" w:type="dxa"/>
            <w:vAlign w:val="bottom"/>
            <w:tcBorders>
              <w:left w:val="single" w:sz="8" w:color="auto"/>
            </w:tcBorders>
          </w:tcPr>
          <w:p>
            <w:pPr>
              <w:ind w:left="1620"/>
              <w:spacing w:after="0"/>
              <w:rPr>
                <w:sz w:val="20"/>
                <w:szCs w:val="20"/>
                <w:color w:val="auto"/>
              </w:rPr>
            </w:pPr>
            <w:r>
              <w:rPr>
                <w:rFonts w:ascii="Times New Roman" w:cs="Times New Roman" w:eastAsia="Times New Roman" w:hAnsi="Times New Roman"/>
                <w:sz w:val="20"/>
                <w:szCs w:val="20"/>
                <w:b w:val="1"/>
                <w:bCs w:val="1"/>
                <w:color w:val="auto"/>
              </w:rPr>
              <w:t>POWER OF ATTORNEY</w:t>
            </w:r>
          </w:p>
        </w:tc>
        <w:tc>
          <w:tcPr>
            <w:tcW w:w="14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ind w:left="1880"/>
              <w:spacing w:after="0"/>
              <w:rPr>
                <w:sz w:val="20"/>
                <w:szCs w:val="20"/>
                <w:color w:val="auto"/>
              </w:rPr>
            </w:pPr>
            <w:r>
              <w:rPr>
                <w:rFonts w:ascii="Times New Roman" w:cs="Times New Roman" w:eastAsia="Times New Roman" w:hAnsi="Times New Roman"/>
                <w:sz w:val="20"/>
                <w:szCs w:val="20"/>
                <w:b w:val="1"/>
                <w:bCs w:val="1"/>
                <w:color w:val="auto"/>
              </w:rPr>
              <w:t>VEKÂLETNAME</w:t>
            </w:r>
          </w:p>
        </w:tc>
      </w:tr>
      <w:tr>
        <w:trPr>
          <w:trHeight w:val="88"/>
        </w:trPr>
        <w:tc>
          <w:tcPr>
            <w:tcW w:w="538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5420" w:type="dxa"/>
            <w:vAlign w:val="bottom"/>
            <w:tcBorders>
              <w:bottom w:val="single" w:sz="8" w:color="auto"/>
              <w:right w:val="single" w:sz="8" w:color="auto"/>
            </w:tcBorders>
          </w:tcPr>
          <w:p>
            <w:pPr>
              <w:spacing w:after="0"/>
              <w:rPr>
                <w:sz w:val="7"/>
                <w:szCs w:val="7"/>
                <w:color w:val="auto"/>
              </w:rPr>
            </w:pPr>
          </w:p>
        </w:tc>
      </w:tr>
      <w:tr>
        <w:trPr>
          <w:trHeight w:val="307"/>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The undersigned hereby appoints each of Güneş Akman Özcan</w:t>
            </w:r>
          </w:p>
        </w:tc>
        <w:tc>
          <w:tcPr>
            <w:tcW w:w="14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Aşağıda imzası bulunan; [***] pasaport numaralı Güneş Akman</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with passport number [***], Zeynep Tuane Temel with passport</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Özcan, [***] pasaport numaralı Zeynep Tuana Temel ve [***]</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number [***] and Selen Hasçelik with passport number [***] to</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pasaport  numaralı  Selen  Hasçelik’ten  her  birini  münferiden</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act  individually,  and  with  full  power  of  substitution,  the</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hareket etmek ve tam tevkil yetkisini haiz olmak üzere, aşağıdaki</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undersigned’s true and lawful attorney-in-fact to:</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işlemleri gerçekleştirmek için kendisinin gerçek ve kanuni vekili</w:t>
            </w:r>
          </w:p>
        </w:tc>
      </w:tr>
      <w:tr>
        <w:trPr>
          <w:trHeight w:val="260"/>
        </w:trPr>
        <w:tc>
          <w:tcPr>
            <w:tcW w:w="538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olarak tayin eder:</w:t>
            </w:r>
          </w:p>
        </w:tc>
      </w:tr>
      <w:tr>
        <w:trPr>
          <w:trHeight w:val="103"/>
        </w:trPr>
        <w:tc>
          <w:tcPr>
            <w:tcW w:w="5380" w:type="dxa"/>
            <w:vAlign w:val="bottom"/>
            <w:tcBorders>
              <w:left w:val="single" w:sz="8" w:color="auto"/>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5420" w:type="dxa"/>
            <w:vAlign w:val="bottom"/>
            <w:tcBorders>
              <w:bottom w:val="single" w:sz="8" w:color="auto"/>
              <w:right w:val="single" w:sz="8" w:color="auto"/>
            </w:tcBorders>
          </w:tcPr>
          <w:p>
            <w:pPr>
              <w:spacing w:after="0"/>
              <w:rPr>
                <w:sz w:val="8"/>
                <w:szCs w:val="8"/>
                <w:color w:val="auto"/>
              </w:rPr>
            </w:pPr>
          </w:p>
        </w:tc>
      </w:tr>
      <w:tr>
        <w:trPr>
          <w:trHeight w:val="303"/>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 prepare, execute and submit in the undersigned’s name and</w:t>
            </w:r>
          </w:p>
        </w:tc>
        <w:tc>
          <w:tcPr>
            <w:tcW w:w="14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 aşağıda imzası bulunanın adına ve hesabına, ABD Menkul</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on the undersigned’s behalf, to the U.S. Securities and Exchange</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Kıymetler ve Borsa Komisyonu’na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sunulmak üzere</w:t>
            </w:r>
          </w:p>
        </w:tc>
      </w:tr>
      <w:tr>
        <w:trPr>
          <w:trHeight w:val="244"/>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 Form ID, including amendments</w:t>
            </w:r>
          </w:p>
        </w:tc>
        <w:tc>
          <w:tcPr>
            <w:tcW w:w="140" w:type="dxa"/>
            <w:vAlign w:val="bottom"/>
            <w:tcBorders>
              <w:right w:val="single" w:sz="8" w:color="auto"/>
            </w:tcBorders>
          </w:tcPr>
          <w:p>
            <w:pPr>
              <w:spacing w:after="0"/>
              <w:rPr>
                <w:sz w:val="21"/>
                <w:szCs w:val="21"/>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Form  ID’yi  (bunlara  ilişkin  değişiklikler  dâhil)  hazırlamak,</w:t>
            </w:r>
          </w:p>
        </w:tc>
      </w:tr>
      <w:tr>
        <w:trPr>
          <w:trHeight w:val="236"/>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thereto, and any other documents necessary or appropriate to</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imzalamak ve SEC’e sunmak; ayrıca, güncellenmiş haliyle 1934</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obtain codes and passwords enabling the undersigned to make</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tarihli  Menkul  Kıymetler  Borsası  Kanunu’nun  (“</w:t>
            </w:r>
            <w:r>
              <w:rPr>
                <w:rFonts w:ascii="Times New Roman" w:cs="Times New Roman" w:eastAsia="Times New Roman" w:hAnsi="Times New Roman"/>
                <w:sz w:val="20"/>
                <w:szCs w:val="20"/>
                <w:b w:val="1"/>
                <w:bCs w:val="1"/>
                <w:color w:val="auto"/>
              </w:rPr>
              <w:t>Borsa</w:t>
            </w:r>
          </w:p>
        </w:tc>
      </w:tr>
      <w:tr>
        <w:trPr>
          <w:trHeight w:val="244"/>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electronic filings with the SEC of reports required by Section</w:t>
            </w:r>
          </w:p>
        </w:tc>
        <w:tc>
          <w:tcPr>
            <w:tcW w:w="140" w:type="dxa"/>
            <w:vAlign w:val="bottom"/>
            <w:tcBorders>
              <w:right w:val="single" w:sz="8" w:color="auto"/>
            </w:tcBorders>
          </w:tcPr>
          <w:p>
            <w:pPr>
              <w:spacing w:after="0"/>
              <w:rPr>
                <w:sz w:val="21"/>
                <w:szCs w:val="21"/>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Kanunu</w:t>
            </w:r>
            <w:r>
              <w:rPr>
                <w:rFonts w:ascii="Times New Roman" w:cs="Times New Roman" w:eastAsia="Times New Roman" w:hAnsi="Times New Roman"/>
                <w:sz w:val="20"/>
                <w:szCs w:val="20"/>
                <w:color w:val="auto"/>
              </w:rPr>
              <w:t>”) 16(a) maddesi veya SEC’in herhangi bir kural veya</w:t>
            </w:r>
          </w:p>
        </w:tc>
      </w:tr>
      <w:tr>
        <w:trPr>
          <w:trHeight w:val="236"/>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16(a) of the Securities Exchange Act of 1934, as amended (the</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düzenlemesi uyarınca zorunlu tutulan raporların aşağıda imzası</w:t>
            </w:r>
          </w:p>
        </w:tc>
      </w:tr>
      <w:tr>
        <w:trPr>
          <w:trHeight w:val="244"/>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or any rule or regulation of the SEC;</w:t>
            </w:r>
          </w:p>
        </w:tc>
        <w:tc>
          <w:tcPr>
            <w:tcW w:w="140" w:type="dxa"/>
            <w:vAlign w:val="bottom"/>
            <w:tcBorders>
              <w:right w:val="single" w:sz="8" w:color="auto"/>
            </w:tcBorders>
          </w:tcPr>
          <w:p>
            <w:pPr>
              <w:spacing w:after="0"/>
              <w:rPr>
                <w:sz w:val="21"/>
                <w:szCs w:val="21"/>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bulunan   tarafından   SEC   nezdinde   elektronik   ortamda</w:t>
            </w:r>
          </w:p>
        </w:tc>
      </w:tr>
      <w:tr>
        <w:trPr>
          <w:trHeight w:val="240"/>
        </w:trPr>
        <w:tc>
          <w:tcPr>
            <w:tcW w:w="538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dosyalanmasına  imkân  sağlayacak  kod  ve  şifrelerin  temin</w:t>
            </w:r>
          </w:p>
        </w:tc>
      </w:tr>
      <w:tr>
        <w:trPr>
          <w:trHeight w:val="240"/>
        </w:trPr>
        <w:tc>
          <w:tcPr>
            <w:tcW w:w="538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edilmesi için gerekli veya uygun olan diğer belgeleri hazırlamak</w:t>
            </w:r>
          </w:p>
        </w:tc>
      </w:tr>
      <w:tr>
        <w:trPr>
          <w:trHeight w:val="260"/>
        </w:trPr>
        <w:tc>
          <w:tcPr>
            <w:tcW w:w="538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ve sunmak.</w:t>
            </w:r>
          </w:p>
        </w:tc>
      </w:tr>
      <w:tr>
        <w:trPr>
          <w:trHeight w:val="90"/>
        </w:trPr>
        <w:tc>
          <w:tcPr>
            <w:tcW w:w="538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5420" w:type="dxa"/>
            <w:vAlign w:val="bottom"/>
            <w:tcBorders>
              <w:bottom w:val="single" w:sz="8" w:color="auto"/>
              <w:right w:val="single" w:sz="8" w:color="auto"/>
            </w:tcBorders>
          </w:tcPr>
          <w:p>
            <w:pPr>
              <w:spacing w:after="0"/>
              <w:rPr>
                <w:sz w:val="7"/>
                <w:szCs w:val="7"/>
                <w:color w:val="auto"/>
              </w:rPr>
            </w:pPr>
          </w:p>
        </w:tc>
      </w:tr>
      <w:tr>
        <w:trPr>
          <w:trHeight w:val="301"/>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(2) execute  for  and  on  behalf  of  the  undersigned,  in  the</w:t>
            </w:r>
          </w:p>
        </w:tc>
        <w:tc>
          <w:tcPr>
            <w:tcW w:w="14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 aşağıda imzası bulunanın, D-Market Elektronik Hizmetler ve</w:t>
            </w:r>
          </w:p>
        </w:tc>
      </w:tr>
      <w:tr>
        <w:trPr>
          <w:trHeight w:val="244"/>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undersigned’s capacity as an officer and/or director of D-Market</w:t>
            </w:r>
          </w:p>
        </w:tc>
        <w:tc>
          <w:tcPr>
            <w:tcW w:w="140" w:type="dxa"/>
            <w:vAlign w:val="bottom"/>
            <w:tcBorders>
              <w:right w:val="single" w:sz="8" w:color="auto"/>
            </w:tcBorders>
          </w:tcPr>
          <w:p>
            <w:pPr>
              <w:spacing w:after="0"/>
              <w:rPr>
                <w:sz w:val="21"/>
                <w:szCs w:val="21"/>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Ticaret Anonim Şirketi (“</w:t>
            </w:r>
            <w:r>
              <w:rPr>
                <w:rFonts w:ascii="Times New Roman" w:cs="Times New Roman" w:eastAsia="Times New Roman" w:hAnsi="Times New Roman"/>
                <w:sz w:val="20"/>
                <w:szCs w:val="20"/>
                <w:b w:val="1"/>
                <w:bCs w:val="1"/>
                <w:color w:val="auto"/>
              </w:rPr>
              <w:t>Şirket</w:t>
            </w:r>
            <w:r>
              <w:rPr>
                <w:rFonts w:ascii="Times New Roman" w:cs="Times New Roman" w:eastAsia="Times New Roman" w:hAnsi="Times New Roman"/>
                <w:sz w:val="20"/>
                <w:szCs w:val="20"/>
                <w:color w:val="auto"/>
              </w:rPr>
              <w:t>”) nezdindeki yönetici ve/veya</w:t>
            </w:r>
          </w:p>
        </w:tc>
      </w:tr>
      <w:tr>
        <w:trPr>
          <w:trHeight w:val="236"/>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Elektronik  Hizmetler  ve  Ticaret  Anonim  Şirketi  (the</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direktör sıfatıyla; Borsa Kanunu Madde 16(a) ve ilgili kuralları</w:t>
            </w:r>
          </w:p>
        </w:tc>
      </w:tr>
      <w:tr>
        <w:trPr>
          <w:trHeight w:val="244"/>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Forms 3, 4, and 5 in accordance with Section</w:t>
            </w:r>
          </w:p>
        </w:tc>
        <w:tc>
          <w:tcPr>
            <w:tcW w:w="140" w:type="dxa"/>
            <w:vAlign w:val="bottom"/>
            <w:tcBorders>
              <w:right w:val="single" w:sz="8" w:color="auto"/>
            </w:tcBorders>
          </w:tcPr>
          <w:p>
            <w:pPr>
              <w:spacing w:after="0"/>
              <w:rPr>
                <w:sz w:val="21"/>
                <w:szCs w:val="21"/>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uyarınca Form 3, 4 ve 5‘leri ve aşağıda imzası bulunanın Şirket</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16(a) of the Exchange Act and the rules thereunder and any other</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menkul kıymetlerine sahip olması, bunları iktisap etmesi veya</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forms or reports the undersigned may be required to file in</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elden çıkarması ile bağlantılı olarak dosyalaması gerekebilecek</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connection with the undersigned’s ownership, acquisition, or</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diğer form veya raporları aşağıda imzası bulunan adına ve</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disposition of securities of the Company;</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hesabına  hazırlamak,  usulüne  uygun  olarak  imzalamak  ve</w:t>
            </w:r>
          </w:p>
        </w:tc>
      </w:tr>
      <w:tr>
        <w:trPr>
          <w:trHeight w:val="260"/>
        </w:trPr>
        <w:tc>
          <w:tcPr>
            <w:tcW w:w="538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yürürlüğe koymak;</w:t>
            </w:r>
          </w:p>
        </w:tc>
      </w:tr>
      <w:tr>
        <w:trPr>
          <w:trHeight w:val="90"/>
        </w:trPr>
        <w:tc>
          <w:tcPr>
            <w:tcW w:w="538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5420" w:type="dxa"/>
            <w:vAlign w:val="bottom"/>
            <w:tcBorders>
              <w:bottom w:val="single" w:sz="8" w:color="auto"/>
              <w:right w:val="single" w:sz="8" w:color="auto"/>
            </w:tcBorders>
          </w:tcPr>
          <w:p>
            <w:pPr>
              <w:spacing w:after="0"/>
              <w:rPr>
                <w:sz w:val="7"/>
                <w:szCs w:val="7"/>
                <w:color w:val="auto"/>
              </w:rPr>
            </w:pPr>
          </w:p>
        </w:tc>
      </w:tr>
      <w:tr>
        <w:trPr>
          <w:trHeight w:val="301"/>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(3)  act  as  an  account  administrator  for  the  undersigned’s</w:t>
            </w:r>
          </w:p>
        </w:tc>
        <w:tc>
          <w:tcPr>
            <w:tcW w:w="14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 aşağıda imzası bulunanın Elektronik Veri Toplama, Analiz ve</w:t>
            </w:r>
          </w:p>
        </w:tc>
      </w:tr>
      <w:tr>
        <w:trPr>
          <w:trHeight w:val="244"/>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Electronic Data Gathering, Analysis, and Retrieval (“</w:t>
            </w:r>
            <w:r>
              <w:rPr>
                <w:rFonts w:ascii="Times New Roman" w:cs="Times New Roman" w:eastAsia="Times New Roman" w:hAnsi="Times New Roman"/>
                <w:sz w:val="20"/>
                <w:szCs w:val="20"/>
                <w:b w:val="1"/>
                <w:bCs w:val="1"/>
                <w:color w:val="auto"/>
              </w:rPr>
              <w:t>EDGAR</w:t>
            </w:r>
            <w:r>
              <w:rPr>
                <w:rFonts w:ascii="Times New Roman" w:cs="Times New Roman" w:eastAsia="Times New Roman" w:hAnsi="Times New Roman"/>
                <w:sz w:val="20"/>
                <w:szCs w:val="20"/>
                <w:color w:val="auto"/>
              </w:rPr>
              <w:t>”)</w:t>
            </w:r>
          </w:p>
        </w:tc>
        <w:tc>
          <w:tcPr>
            <w:tcW w:w="140" w:type="dxa"/>
            <w:vAlign w:val="bottom"/>
            <w:tcBorders>
              <w:right w:val="single" w:sz="8" w:color="auto"/>
            </w:tcBorders>
          </w:tcPr>
          <w:p>
            <w:pPr>
              <w:spacing w:after="0"/>
              <w:rPr>
                <w:sz w:val="21"/>
                <w:szCs w:val="21"/>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Geri Çağırma (“</w:t>
            </w:r>
            <w:r>
              <w:rPr>
                <w:rFonts w:ascii="Times New Roman" w:cs="Times New Roman" w:eastAsia="Times New Roman" w:hAnsi="Times New Roman"/>
                <w:sz w:val="20"/>
                <w:szCs w:val="20"/>
                <w:b w:val="1"/>
                <w:bCs w:val="1"/>
                <w:color w:val="auto"/>
              </w:rPr>
              <w:t>EDGAR</w:t>
            </w:r>
            <w:r>
              <w:rPr>
                <w:rFonts w:ascii="Times New Roman" w:cs="Times New Roman" w:eastAsia="Times New Roman" w:hAnsi="Times New Roman"/>
                <w:sz w:val="20"/>
                <w:szCs w:val="20"/>
                <w:color w:val="auto"/>
              </w:rPr>
              <w:t>”) hesabı için hesap yöneticisi olarak</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account, including:</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hareket etmek; buna şunlar dâhildir:</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 appointing, removing and replacing account administrators,</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 hesap yöneticilerini, hesap kullanıcılarını, teknik yöneticileri</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account users, technical administrators and delegated entities,</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ve  yetkilendirilmiş  kuruluşları  atamak,  görevden  almak  ve</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 maintaining  the  security  of  the  undersigned’s  EDGAR</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değiştirmek,</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account, including modification of access codes,</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 erişim kodlarının değiştirilmesi dahil olmak üzere aşağıda</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  maintaining,  modifying  and  certifying  the  accuracy  of</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imzası bulunanın EDGAR hesabının güvenliğini sağlamak,</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information on the undersigned’s EDGAR account dashboard,</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 aşağıda imzası bulunanın EDGAR hesap panelindeki bilgileri</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 acting as the EDGAR point of contact with respect to the</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muhafaza etmek, değiştirmek ve doğruluğunu onaylamak,</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undersigned’s EDGAR account, and</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 aşağıda imzası bulunanın EDGAR hesabı ile ilgili olarak</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 taking  any  other  actions  contemplated  by  Rule  10  of</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EDGAR irtibat kişisi olarak hareket etmek ve</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Regulation S-T with respect to account administrators;</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 hesap yöneticilerine ilişkin S-T Yönetmeliği’nin 10. Maddesi</w:t>
            </w:r>
          </w:p>
        </w:tc>
      </w:tr>
      <w:tr>
        <w:trPr>
          <w:trHeight w:val="260"/>
        </w:trPr>
        <w:tc>
          <w:tcPr>
            <w:tcW w:w="538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uyarınca öngörülen diğer tüm eylemleri gerçekleştirmek</w:t>
            </w:r>
          </w:p>
        </w:tc>
      </w:tr>
      <w:tr>
        <w:trPr>
          <w:trHeight w:val="90"/>
        </w:trPr>
        <w:tc>
          <w:tcPr>
            <w:tcW w:w="538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5420" w:type="dxa"/>
            <w:vAlign w:val="bottom"/>
            <w:tcBorders>
              <w:bottom w:val="single" w:sz="8" w:color="auto"/>
              <w:right w:val="single" w:sz="8" w:color="auto"/>
            </w:tcBorders>
          </w:tcPr>
          <w:p>
            <w:pPr>
              <w:spacing w:after="0"/>
              <w:rPr>
                <w:sz w:val="7"/>
                <w:szCs w:val="7"/>
                <w:color w:val="auto"/>
              </w:rPr>
            </w:pPr>
          </w:p>
        </w:tc>
      </w:tr>
      <w:tr>
        <w:trPr>
          <w:trHeight w:val="305"/>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(4) cause the Company to accept a delegation of authority from</w:t>
            </w:r>
          </w:p>
        </w:tc>
        <w:tc>
          <w:tcPr>
            <w:tcW w:w="14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(4) Şirket’in, aşağıda imzası bulunanın herhangi bir EDGAR</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any of the undersigned’s EDGAR account administrators and,</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hesap yöneticisinden bir yetki devrini kabul etmesini sağlamak</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pursuant to that delegation, to authorize the Company’s EDGAR</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ve bu yetki devri uyarınca, Şirketin EDGAR hesap yöneticilerini</w:t>
            </w:r>
          </w:p>
        </w:tc>
      </w:tr>
      <w:tr>
        <w:trPr>
          <w:trHeight w:val="24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account administrators to appoint, remove or replace users for</w:t>
            </w:r>
          </w:p>
        </w:tc>
        <w:tc>
          <w:tcPr>
            <w:tcW w:w="14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aşağıda imzası bulunanın EDGAR hesabı için kullanıcı atama,</w:t>
            </w:r>
          </w:p>
        </w:tc>
      </w:tr>
      <w:tr>
        <w:trPr>
          <w:trHeight w:val="260"/>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the undersigned’s EDGAR account;</w:t>
            </w:r>
          </w:p>
        </w:tc>
        <w:tc>
          <w:tcPr>
            <w:tcW w:w="14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görevden alma veya değiştirme konusunda yetkilendirmek;</w:t>
            </w:r>
          </w:p>
        </w:tc>
      </w:tr>
      <w:tr>
        <w:trPr>
          <w:trHeight w:val="90"/>
        </w:trPr>
        <w:tc>
          <w:tcPr>
            <w:tcW w:w="538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5420" w:type="dxa"/>
            <w:vAlign w:val="bottom"/>
            <w:tcBorders>
              <w:bottom w:val="single" w:sz="8" w:color="auto"/>
              <w:right w:val="single" w:sz="8" w:color="auto"/>
            </w:tcBorders>
          </w:tcPr>
          <w:p>
            <w:pPr>
              <w:spacing w:after="0"/>
              <w:rPr>
                <w:sz w:val="7"/>
                <w:szCs w:val="7"/>
                <w:color w:val="auto"/>
              </w:rPr>
            </w:pPr>
          </w:p>
        </w:tc>
      </w:tr>
      <w:tr>
        <w:trPr>
          <w:trHeight w:val="745"/>
        </w:trPr>
        <w:tc>
          <w:tcPr>
            <w:tcW w:w="53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jc w:val="right"/>
              <w:ind w:right="5320"/>
              <w:spacing w:after="0"/>
              <w:rPr>
                <w:sz w:val="20"/>
                <w:szCs w:val="20"/>
                <w:color w:val="auto"/>
              </w:rPr>
            </w:pPr>
            <w:r>
              <w:rPr>
                <w:rFonts w:ascii="Times New Roman" w:cs="Times New Roman" w:eastAsia="Times New Roman" w:hAnsi="Times New Roman"/>
                <w:sz w:val="20"/>
                <w:szCs w:val="20"/>
                <w:color w:val="auto"/>
              </w:rPr>
              <w:t>1</w:t>
            </w:r>
          </w:p>
        </w:tc>
      </w:tr>
    </w:tbl>
    <w:p>
      <w:pPr>
        <w:sectPr>
          <w:pgSz w:w="11900" w:h="16838" w:orient="portrait"/>
          <w:cols w:equalWidth="0" w:num="1">
            <w:col w:w="10940"/>
          </w:cols>
          <w:pgMar w:left="480" w:top="385" w:right="47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5"/>
        </w:trPr>
        <w:tc>
          <w:tcPr>
            <w:tcW w:w="54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(5) seek or obtain, as the undersigned’s representative and on the</w:t>
            </w:r>
          </w:p>
        </w:tc>
        <w:tc>
          <w:tcPr>
            <w:tcW w:w="80" w:type="dxa"/>
            <w:vAlign w:val="bottom"/>
            <w:tcBorders>
              <w:top w:val="single" w:sz="8" w:color="auto"/>
              <w:righ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(5) aşağıda imzası bulunanın temsilcisi olarak ve onun adına;</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undersigned’s  behalf,  information  on  transactions  in  the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aracı kurumlar, çalışan hakları plan yöneticileri ve yedieminler</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Company’s securities from any third party, including brokers,</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dâhil olmak üzere herhangi bir üçüncü taraftan Şirket menkul</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employee  benefit  plan  administrators  and  trustees,  and  the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kıymetlerindeki işlemlere ilişkin bilgi talep etmek veya edinmek;</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 hereby authorizes any such person to release any</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aşağıda imzası bulunan, işbu belge ile söz konusu kişileri bu tür</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such information to each of the undersigned’s attorneys-in-fact</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bilgileri  işbu  Vekâletname  ile  atanan  vekillerin  her  birine</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appointed by this Power of Attorney and approves and ratifies</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vermeye yetkili kılar ve bu tür bilgi paylaşımlarını onaylar ve</w:t>
            </w:r>
          </w:p>
        </w:tc>
      </w:tr>
      <w:tr>
        <w:trPr>
          <w:trHeight w:val="26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any such release of information;</w:t>
            </w:r>
          </w:p>
        </w:tc>
        <w:tc>
          <w:tcPr>
            <w:tcW w:w="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tasdik eder;</w:t>
            </w:r>
          </w:p>
        </w:tc>
      </w:tr>
      <w:tr>
        <w:trPr>
          <w:trHeight w:val="90"/>
        </w:trPr>
        <w:tc>
          <w:tcPr>
            <w:tcW w:w="540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r>
      <w:tr>
        <w:trPr>
          <w:trHeight w:val="305"/>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(6) do and perform any and all acts for and on behalf of the</w:t>
            </w:r>
          </w:p>
        </w:tc>
        <w:tc>
          <w:tcPr>
            <w:tcW w:w="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(6) söz konusu Form 3, 4 veya 5‘i veya bunlara ilişkin herhangi</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 which may be necessary or desirable to complete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bir değişikliği tamamlamak ve imzalamak ve bu formları SEC’e</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and execute any such Form 3, 4, or 5 or any amendment or</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ve  herhangi  bir  borsa  veya  benzeri  makama  zamanında</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amendments thereto, and timely file such form with the SEC and</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dosyalamak için gerekli veya arzu edilebilecek her türlü eylemi</w:t>
            </w:r>
          </w:p>
        </w:tc>
      </w:tr>
      <w:tr>
        <w:trPr>
          <w:trHeight w:val="26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any stock exchange or similar authority; and</w:t>
            </w:r>
          </w:p>
        </w:tc>
        <w:tc>
          <w:tcPr>
            <w:tcW w:w="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aşağıda imzası bulunan adına ve namına yerine getirmek; ve</w:t>
            </w:r>
          </w:p>
        </w:tc>
      </w:tr>
      <w:tr>
        <w:trPr>
          <w:trHeight w:val="90"/>
        </w:trPr>
        <w:tc>
          <w:tcPr>
            <w:tcW w:w="540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r>
      <w:tr>
        <w:trPr>
          <w:trHeight w:val="305"/>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(7) take any other action of any type whatsoever in connection</w:t>
            </w:r>
          </w:p>
        </w:tc>
        <w:tc>
          <w:tcPr>
            <w:tcW w:w="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(7) yukarıdakilerle bağlantılı olarak, söz konusu vekilin görüşüne</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with the foregoing which, in the opinion of such attorney-in-fact,</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göre aşağıda imzası bulunanın yararına, en iyi çıkarına olan veya</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may be of benefit to, in the best interest of, or legally required</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yasal olarak gerekli olan her türlü diğer eylemi gerçekleştirmek;</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by, the undersigned, it being understood that the documents</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şu şartla ki, söz konusu vekil tarafından işbu Vekâletname</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executed by such attorney-in-fact on behalf of the undersigned</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uyarınca aşağıda imzası bulunan adına imzalanan belgeler, söz</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pursuant to this Power of Attorney shall be in such form and</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konusu vekilin kendi takdirine bağlı olarak onaylayabileceği</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shall contain such terms and conditions as such attorney-in-fact</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form, şart ve koşullarda olacaktır.</w:t>
            </w:r>
          </w:p>
        </w:tc>
      </w:tr>
      <w:tr>
        <w:trPr>
          <w:trHeight w:val="26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may approve in such attorney-in-fact’s discretion.</w:t>
            </w:r>
          </w:p>
        </w:tc>
        <w:tc>
          <w:tcPr>
            <w:tcW w:w="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spacing w:after="0"/>
              <w:rPr>
                <w:sz w:val="22"/>
                <w:szCs w:val="22"/>
                <w:color w:val="auto"/>
              </w:rPr>
            </w:pPr>
          </w:p>
        </w:tc>
      </w:tr>
      <w:tr>
        <w:trPr>
          <w:trHeight w:val="90"/>
        </w:trPr>
        <w:tc>
          <w:tcPr>
            <w:tcW w:w="540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r>
      <w:tr>
        <w:trPr>
          <w:trHeight w:val="305"/>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w:t>
            </w:r>
          </w:p>
        </w:tc>
        <w:tc>
          <w:tcPr>
            <w:tcW w:w="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Aşağıda  imzası  bulunan;  burada  tanınan  hak  ve  yetkilerin</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power and authority to do and perform any and every act and</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kullanılmasında gerekli, uygun veya yapılması gereken her türlü</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thing whatsoever requisite, necessary, or proper to be done in the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iş ve işlemi, bizzat hazır bulunsaydı yapabileceği ölçüde tam</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exercise of any of the rights and powers herein granted, as fully</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yetkiyle gerçekleştirmesi için her bir vekile, tam ikame veya azil</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to all intents and purposes as the undersigned might or could do</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yetkisiyle birlikte tam yetki verir; söz konusu vekilin veya</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if  personally  present,  with  full  power  of  substitution  or</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vekilin ikame ettiği kişi veya kişilerin işbu Vekâletname ve</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revocation,  hereby  ratifying  and  confirming  all  that  such</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burada tanınan hak ve yetkiler uyarınca yasal olarak yapacağı</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attorney-in-fact,  or  such  attorney-in-fact’s  substitute  or</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veya yapılmasına sebebiyet vereceği her şeyi işbu belge ile</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substitutes, shall lawfully do or cause to be done by virtue of this</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onaylar ve tasdik eder. Aşağıda imzası bulunan, söz konusu</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power of attorney and the rights and powers herein granted. The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vekillerin, aşağıda imzası bulunanın talebi üzerine bu sıfatla</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 acknowledges that the foregoing attorneys- in-fact,</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görev yaparken, Borsa Kanunu Madde 16 ve ilgili kurallara</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 serving in such capacity at the request of the undersigned, are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uyma  sorumluluğunu  üstlenmediklerini  ve  şirket’in  de  bu</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not  assuming,  nor  is  the  Company  assuming,  any  of  the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sorumluluğu üstlenmediğini kabul eder.</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undersigned’s responsibilities to comply with Section 16 of the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p>
        </w:tc>
      </w:tr>
      <w:tr>
        <w:trPr>
          <w:trHeight w:val="26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Exchange Act and the rules thereunder.</w:t>
            </w:r>
          </w:p>
        </w:tc>
        <w:tc>
          <w:tcPr>
            <w:tcW w:w="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spacing w:after="0"/>
              <w:rPr>
                <w:sz w:val="22"/>
                <w:szCs w:val="22"/>
                <w:color w:val="auto"/>
              </w:rPr>
            </w:pPr>
          </w:p>
        </w:tc>
      </w:tr>
      <w:tr>
        <w:trPr>
          <w:trHeight w:val="90"/>
        </w:trPr>
        <w:tc>
          <w:tcPr>
            <w:tcW w:w="540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r>
      <w:tr>
        <w:trPr>
          <w:trHeight w:val="745"/>
        </w:trPr>
        <w:tc>
          <w:tcPr>
            <w:tcW w:w="54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jc w:val="right"/>
              <w:ind w:right="5320"/>
              <w:spacing w:after="0"/>
              <w:rPr>
                <w:sz w:val="20"/>
                <w:szCs w:val="20"/>
                <w:color w:val="auto"/>
              </w:rPr>
            </w:pPr>
            <w:r>
              <w:rPr>
                <w:rFonts w:ascii="Times New Roman" w:cs="Times New Roman" w:eastAsia="Times New Roman" w:hAnsi="Times New Roman"/>
                <w:sz w:val="20"/>
                <w:szCs w:val="20"/>
                <w:color w:val="auto"/>
                <w:w w:val="99"/>
              </w:rPr>
              <w:t>2</w:t>
            </w:r>
          </w:p>
        </w:tc>
      </w:tr>
    </w:tbl>
    <w:p>
      <w:pPr>
        <w:sectPr>
          <w:pgSz w:w="11900" w:h="16838" w:orient="portrait"/>
          <w:cols w:equalWidth="0" w:num="1">
            <w:col w:w="10940"/>
          </w:cols>
          <w:pgMar w:left="480" w:top="1020" w:right="47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5"/>
        </w:trPr>
        <w:tc>
          <w:tcPr>
            <w:tcW w:w="54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This Power of Attorney shall remain in full force and effect until</w:t>
            </w:r>
          </w:p>
        </w:tc>
        <w:tc>
          <w:tcPr>
            <w:tcW w:w="80" w:type="dxa"/>
            <w:vAlign w:val="bottom"/>
            <w:tcBorders>
              <w:top w:val="single" w:sz="8" w:color="auto"/>
              <w:righ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İşbu Vekâletname, aşağıda imzası bulunan tarafından vekillere</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the undersigned is no longer required to file Forms 3, 4, and 5</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teslim edilen imzalı bir yazıyla daha önce azledilmediği sürece,</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with respect to the undersigned’s holdings of and transactions in</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aşağıda imzası bulunanın Şirket tarafından ihraç edilen menkul</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securities issued by the Company, unless earlier revoked by the</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kıymetlerdeki varlıkları ve işlemlerine ilişkin Form 3, 4 ve 5</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undersigned  in  signed  writing  delivered  to  the  foregoing</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dosyalaması  gerekmediği  sürece  tam  olarak  yürürlükte</w:t>
            </w:r>
          </w:p>
        </w:tc>
      </w:tr>
      <w:tr>
        <w:trPr>
          <w:trHeight w:val="26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attorneys-in-fact.</w:t>
            </w:r>
          </w:p>
        </w:tc>
        <w:tc>
          <w:tcPr>
            <w:tcW w:w="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kalacaktır.</w:t>
            </w:r>
          </w:p>
        </w:tc>
      </w:tr>
      <w:tr>
        <w:trPr>
          <w:trHeight w:val="90"/>
        </w:trPr>
        <w:tc>
          <w:tcPr>
            <w:tcW w:w="540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r>
      <w:tr>
        <w:trPr>
          <w:trHeight w:val="305"/>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 the  event  of  any  inconsistency,  discrepancy,  or  conflict</w:t>
            </w:r>
          </w:p>
        </w:tc>
        <w:tc>
          <w:tcPr>
            <w:tcW w:w="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İşbu Vekâletname’nin Türkçe ve İngilizce metinleri arasında</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between the Turkish and English versions of this Power of</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herhangi bir çelişki, tutarsızlık veya yorum farklılığı bulunması</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Attorney, the English version shall prevail and be controlling.</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hâlinde,  İngilizce  metin  esas  alınacak  ve  İngilizce  metne</w:t>
            </w:r>
          </w:p>
        </w:tc>
      </w:tr>
      <w:tr>
        <w:trPr>
          <w:trHeight w:val="260"/>
        </w:trPr>
        <w:tc>
          <w:tcPr>
            <w:tcW w:w="5400" w:type="dxa"/>
            <w:vAlign w:val="bottom"/>
            <w:tcBorders>
              <w:left w:val="single" w:sz="8" w:color="auto"/>
            </w:tcBorders>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üstünlük tanınacaktır.</w:t>
            </w:r>
          </w:p>
        </w:tc>
      </w:tr>
      <w:tr>
        <w:trPr>
          <w:trHeight w:val="90"/>
        </w:trPr>
        <w:tc>
          <w:tcPr>
            <w:tcW w:w="540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r>
      <w:tr>
        <w:trPr>
          <w:trHeight w:val="305"/>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 WITNESS WHEREOF, the undersigned has caused this</w:t>
            </w:r>
          </w:p>
        </w:tc>
        <w:tc>
          <w:tcPr>
            <w:tcW w:w="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BU HUSUSLARI TASDİKEN, aşağıda imzası bulunan işbu</w:t>
            </w: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Power of Attorney to be executed as of this 4th day of March,</w:t>
            </w:r>
          </w:p>
        </w:tc>
        <w:tc>
          <w:tcPr>
            <w:tcW w:w="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Vekâletname’yi 2026 yılı, Mart ayının 4. gününde imzalamıştır.</w:t>
            </w:r>
          </w:p>
        </w:tc>
      </w:tr>
      <w:tr>
        <w:trPr>
          <w:trHeight w:val="26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spacing w:after="0"/>
              <w:rPr>
                <w:sz w:val="22"/>
                <w:szCs w:val="22"/>
                <w:color w:val="auto"/>
              </w:rPr>
            </w:pPr>
          </w:p>
        </w:tc>
      </w:tr>
      <w:tr>
        <w:trPr>
          <w:trHeight w:val="90"/>
        </w:trPr>
        <w:tc>
          <w:tcPr>
            <w:tcW w:w="540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r>
      <w:tr>
        <w:trPr>
          <w:trHeight w:val="475"/>
        </w:trPr>
        <w:tc>
          <w:tcPr>
            <w:tcW w:w="5400" w:type="dxa"/>
            <w:vAlign w:val="bottom"/>
          </w:tcPr>
          <w:p>
            <w:pPr>
              <w:spacing w:after="0"/>
              <w:rPr>
                <w:sz w:val="24"/>
                <w:szCs w:val="24"/>
                <w:color w:val="auto"/>
              </w:rPr>
            </w:pPr>
          </w:p>
        </w:tc>
        <w:tc>
          <w:tcPr>
            <w:tcW w:w="5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480"/>
        </w:trPr>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Tayfun Bayazit</w:t>
            </w:r>
          </w:p>
        </w:tc>
      </w:tr>
      <w:tr>
        <w:trPr>
          <w:trHeight w:val="215"/>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 Surname and Turkish ID Number/</w:t>
            </w:r>
          </w:p>
        </w:tc>
      </w:tr>
      <w:tr>
        <w:trPr>
          <w:trHeight w:val="260"/>
        </w:trPr>
        <w:tc>
          <w:tcPr>
            <w:tcW w:w="5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Adı, Soyadı ve TC Kimlik Numarası</w:t>
            </w:r>
          </w:p>
        </w:tc>
      </w:tr>
      <w:tr>
        <w:trPr>
          <w:trHeight w:val="480"/>
        </w:trPr>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Tayfun Bayazit</w:t>
            </w:r>
          </w:p>
        </w:tc>
      </w:tr>
      <w:tr>
        <w:trPr>
          <w:trHeight w:val="255"/>
        </w:trPr>
        <w:tc>
          <w:tcPr>
            <w:tcW w:w="5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Signature/İmza</w:t>
            </w:r>
          </w:p>
        </w:tc>
      </w:tr>
      <w:tr>
        <w:trPr>
          <w:trHeight w:val="700"/>
        </w:trPr>
        <w:tc>
          <w:tcPr>
            <w:tcW w:w="54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jc w:val="right"/>
              <w:ind w:right="5320"/>
              <w:spacing w:after="0"/>
              <w:rPr>
                <w:sz w:val="20"/>
                <w:szCs w:val="20"/>
                <w:color w:val="auto"/>
              </w:rPr>
            </w:pPr>
            <w:r>
              <w:rPr>
                <w:rFonts w:ascii="Times New Roman" w:cs="Times New Roman" w:eastAsia="Times New Roman" w:hAnsi="Times New Roman"/>
                <w:sz w:val="20"/>
                <w:szCs w:val="20"/>
                <w:color w:val="auto"/>
                <w:w w:val="99"/>
              </w:rPr>
              <w:t>3</w:t>
            </w:r>
          </w:p>
        </w:tc>
      </w:tr>
    </w:tbl>
    <w:p>
      <w:pPr>
        <w:spacing w:after="0" w:line="1" w:lineRule="exact"/>
        <w:rPr>
          <w:sz w:val="20"/>
          <w:szCs w:val="20"/>
          <w:color w:val="auto"/>
        </w:rPr>
      </w:pPr>
    </w:p>
    <w:sectPr>
      <w:pgSz w:w="11900" w:h="16838" w:orient="portrait"/>
      <w:cols w:equalWidth="0" w:num="1">
        <w:col w:w="10940"/>
      </w:cols>
      <w:pgMar w:left="480" w:top="10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5064" TargetMode="External"/><Relationship Id="rId11" Type="http://schemas.openxmlformats.org/officeDocument/2006/relationships/hyperlink" Target="http://www.sec.gov/cgi-bin/browse-edgar?action=getcompany&amp;CIK=0001850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2026-03-27T14:50:33Z</dcterms:created>
  <dcterms:modified xsi:type="dcterms:W3CDTF">2026-03-27T14:50:33Z</dcterms:modified>
</cp:coreProperties>
</file>