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D-MARKET Electronic Services &amp; Trading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nominal value TRY 0.20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23292B104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David Ferguson</w:t>
      </w:r>
    </w:p>
    <w:p>
      <w:pPr>
        <w:spacing w:after="0" w:line="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0000FF"/>
        </w:rPr>
        <w:t>154A Nauryzbai Batyr Street,</w:t>
      </w:r>
    </w:p>
    <w:p>
      <w:pPr>
        <w:ind w:left="3940"/>
        <w:spacing w:after="0" w:line="230" w:lineRule="auto"/>
        <w:rPr>
          <w:sz w:val="20"/>
          <w:szCs w:val="20"/>
          <w:color w:val="auto"/>
        </w:rPr>
      </w:pPr>
      <w:r>
        <w:rPr>
          <w:rFonts w:ascii="Times New Roman" w:cs="Times New Roman" w:eastAsia="Times New Roman" w:hAnsi="Times New Roman"/>
          <w:sz w:val="22"/>
          <w:szCs w:val="22"/>
          <w:b w:val="1"/>
          <w:bCs w:val="1"/>
          <w:color w:val="0000FF"/>
        </w:rPr>
        <w:t>Almaty, 1P, 050013</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0000FF"/>
        </w:rPr>
        <w:t>7 727 3306710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Copy to: Era Anagnosti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DLA Piper LLP (US), 500 8th Street, N.W.</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799-4000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23292B104</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Joint Stock Company Kaspi.kz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60" w:top="639"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KAZAKSTAN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223,246,220.00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223,246,220.00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223,246,220.00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639"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160"/>
          </w:cols>
          <w:pgMar w:left="360" w:top="639" w:right="37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nominal value TRY 0.20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D-MARKET Electronic Services &amp; Trading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KUSTEPE MAHALLESI MECIDIYEKOY YOLU, Caddesi NO: 12 TRUMP TOWERS KULE 2 K2, Sisli Istanbul, TURKEY , 34387.</w:t>
      </w:r>
    </w:p>
    <w:p>
      <w:pPr>
        <w:spacing w:after="0" w:line="1" w:lineRule="exact"/>
        <w:rPr>
          <w:sz w:val="20"/>
          <w:szCs w:val="20"/>
          <w:color w:val="auto"/>
        </w:rPr>
      </w:pPr>
    </w:p>
    <w:p>
      <w:pPr>
        <w:sectPr>
          <w:pgSz w:w="11900" w:h="16838" w:orient="portrait"/>
          <w:cols w:equalWidth="0" w:num="2">
            <w:col w:w="620" w:space="300"/>
            <w:col w:w="10240"/>
          </w:cols>
          <w:pgMar w:left="360" w:top="639" w:right="379" w:bottom="0" w:gutter="0" w:footer="0" w:header="0"/>
          <w:type w:val="continuous"/>
        </w:sectPr>
      </w:pPr>
    </w:p>
    <w:p>
      <w:pPr>
        <w:jc w:val="right"/>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No. 3") amends and supplements the Schedule 13D originally filed by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Joint Stock Company Kaspi.kz, a joint stock company incorporated under the laws of Kazakhstan (the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Person"), with the Securities and Exchange Commission (the "SEC") on February 5, 2025 (the "Schedule 13D"), as</w:t>
      </w:r>
    </w:p>
    <w:p>
      <w:pPr>
        <w:sectPr>
          <w:pgSz w:w="11900" w:h="16838" w:orient="portrait"/>
          <w:cols w:equalWidth="0" w:num="1">
            <w:col w:w="11160"/>
          </w:cols>
          <w:pgMar w:left="360" w:top="639" w:right="379" w:bottom="0" w:gutter="0" w:footer="0" w:header="0"/>
          <w:type w:val="continuous"/>
        </w:sectPr>
      </w:pPr>
    </w:p>
    <w:bookmarkStart w:id="2" w:name="page3"/>
    <w:bookmarkEnd w:id="2"/>
    <w:p>
      <w:pPr>
        <w:jc w:val="both"/>
        <w:ind w:left="960"/>
        <w:spacing w:after="0" w:line="235" w:lineRule="auto"/>
        <w:rPr>
          <w:sz w:val="20"/>
          <w:szCs w:val="20"/>
          <w:color w:val="auto"/>
        </w:rPr>
      </w:pPr>
      <w:r>
        <w:rPr>
          <w:rFonts w:ascii="Times New Roman" w:cs="Times New Roman" w:eastAsia="Times New Roman" w:hAnsi="Times New Roman"/>
          <w:sz w:val="22"/>
          <w:szCs w:val="22"/>
          <w:color w:val="auto"/>
        </w:rPr>
        <w:t>amended by Amendment No. 1 to the Schedule 13D filed by the Reporting Person with the SEC on July 30, 2025 ("Amendment No. 1") and Amendment No. 2 to the Schedule 13D filed by the Reporting Person with the SEC on November 13, 2025 ("Amendment No. 2" and, together with the Schedule 13D and Amendment No. 1, the "Schedule 13D, as amended"), relating to the ordinary shares, nominal value TRY 0.20 per share (the "Ordinary Shares") of D-MARKET Electronic Services &amp; Trading (the "Issuer"). Except as specifically provided herein, this Amendment No. 3 does not modify or amend any of the information previously reported on the Schedule 13D, as amended. Capitalized terms used and not otherwise defined herein shall have the meanings ascribed to such terms in the Schedule 13D, as amended.</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340"/>
        <w:spacing w:after="0" w:line="239" w:lineRule="auto"/>
        <w:rPr>
          <w:sz w:val="20"/>
          <w:szCs w:val="20"/>
          <w:color w:val="auto"/>
        </w:rPr>
      </w:pPr>
      <w:r>
        <w:rPr>
          <w:rFonts w:ascii="Times New Roman" w:cs="Times New Roman" w:eastAsia="Times New Roman" w:hAnsi="Times New Roman"/>
          <w:sz w:val="22"/>
          <w:szCs w:val="22"/>
          <w:color w:val="auto"/>
        </w:rPr>
        <w:t>The disclosure in Item 3 of the Schedule 13D, as amended, is hereby supplemented by adding the following: On November 17, 2025, the Reporting Person acquired 10,000,000 Ordinary Shares of the Issuer pursuant to the 2025 Stock Purchase Agreement previously reported on Amendment No. 2 for an aggregate purchase price of USD 29,500,000.</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60"/>
        <w:spacing w:after="0" w:line="256" w:lineRule="auto"/>
        <w:rPr>
          <w:sz w:val="20"/>
          <w:szCs w:val="20"/>
          <w:color w:val="auto"/>
        </w:rPr>
      </w:pPr>
      <w:r>
        <w:rPr>
          <w:rFonts w:ascii="Times New Roman" w:cs="Times New Roman" w:eastAsia="Times New Roman" w:hAnsi="Times New Roman"/>
          <w:sz w:val="22"/>
          <w:szCs w:val="22"/>
          <w:color w:val="auto"/>
        </w:rPr>
        <w:t>The disclosure in Item 4 of the Schedule 13D, as amended, is hereby supplemented to incorporate the supplemental disclosure set forth in Item 3 of this Amendment No. 3.</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As of the date of this Amendment No. 3, the Reporting Person beneficially owns 223,246,220 Ordinary Shares of the</w:t>
      </w:r>
    </w:p>
    <w:p>
      <w:pPr>
        <w:spacing w:after="0" w:line="26" w:lineRule="exact"/>
        <w:rPr>
          <w:sz w:val="20"/>
          <w:szCs w:val="20"/>
          <w:color w:val="auto"/>
        </w:rPr>
      </w:pPr>
    </w:p>
    <w:p>
      <w:pPr>
        <w:ind w:left="920" w:right="3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Issuer, representing 69.46% of the total outstanding Ordinary Shares.(1) (1) The percentage ownership is based on 321,382,906 Ordinary Shares as reported on the Issuer's Form 20-F filed with the Securities and Exchange Commission on April 30, 2025.</w:t>
      </w:r>
    </w:p>
    <w:p>
      <w:pPr>
        <w:spacing w:after="0" w:line="18" w:lineRule="exact"/>
        <w:rPr>
          <w:rFonts w:ascii="Times New Roman" w:cs="Times New Roman" w:eastAsia="Times New Roman" w:hAnsi="Times New Roman"/>
          <w:sz w:val="42"/>
          <w:szCs w:val="42"/>
          <w:color w:val="auto"/>
          <w:vertAlign w:val="subscript"/>
        </w:rPr>
      </w:pPr>
    </w:p>
    <w:p>
      <w:pPr>
        <w:ind w:left="920" w:right="10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of the date of this Amendment No. 3, the Reporting Person beneficially owns 223,246,220 Ordinary Shares of the Issuer, representing 69.46%(1) of the total outstanding Ordinary Shares, as set forth below: Sole power to vote or</w:t>
      </w:r>
    </w:p>
    <w:p>
      <w:pPr>
        <w:ind w:left="920" w:hanging="912"/>
        <w:spacing w:after="0" w:line="181" w:lineRule="auto"/>
        <w:tabs>
          <w:tab w:leader="none" w:pos="920" w:val="left"/>
        </w:tabs>
        <w:numPr>
          <w:ilvl w:val="0"/>
          <w:numId w:val="2"/>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direct the vote of: 223,246,220 Shared power to vote or to direct the vote of: 0 Sole power to dispose of or to direct</w:t>
      </w:r>
    </w:p>
    <w:p>
      <w:pPr>
        <w:ind w:left="920" w:right="340"/>
        <w:spacing w:after="0" w:line="235"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the disposition of: 223,246,220 Shared power to dispose of or to direct the disposition of: 0 (1) The percentage ownership is based on 321,382,906 Ordinary Shares as reported on the Issuer's Form 20-F filed with the Securities and Exchange Commission on April 30, 2025.</w:t>
      </w:r>
    </w:p>
    <w:p>
      <w:pPr>
        <w:spacing w:after="0" w:line="15" w:lineRule="exact"/>
        <w:rPr>
          <w:rFonts w:ascii="Times New Roman" w:cs="Times New Roman" w:eastAsia="Times New Roman" w:hAnsi="Times New Roman"/>
          <w:sz w:val="28"/>
          <w:szCs w:val="28"/>
          <w:color w:val="auto"/>
          <w:vertAlign w:val="subscript"/>
        </w:rPr>
      </w:pPr>
    </w:p>
    <w:p>
      <w:pPr>
        <w:ind w:left="920" w:right="320" w:hanging="912"/>
        <w:spacing w:after="0"/>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Item 3 and Item 4 of this Amendment No. 3 is incorporated by reference into this Item 5(c).</w:t>
      </w:r>
    </w:p>
    <w:p>
      <w:pPr>
        <w:spacing w:after="0" w:line="91"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other person is known to have the right to receive or the power to direct the receipt of dividends from, or the</w:t>
      </w:r>
    </w:p>
    <w:p>
      <w:pPr>
        <w:spacing w:after="0" w:line="14" w:lineRule="exact"/>
        <w:rPr>
          <w:rFonts w:ascii="Times New Roman" w:cs="Times New Roman" w:eastAsia="Times New Roman" w:hAnsi="Times New Roman"/>
          <w:sz w:val="39"/>
          <w:szCs w:val="39"/>
          <w:color w:val="auto"/>
          <w:vertAlign w:val="subscript"/>
        </w:rPr>
      </w:pPr>
    </w:p>
    <w:p>
      <w:pPr>
        <w:ind w:left="920" w:right="56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from the sale of, any of the Ordinary Shares beneficially owned by the Reporting Person, other than as described herein.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Joint Stock Company Kaspi.kz</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Mikheil Lomtadze</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Mikheil Lomtadze/Chief Executive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11/18/2025</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2025-11-18T06:03:35Z</dcterms:created>
  <dcterms:modified xsi:type="dcterms:W3CDTF">2025-11-18T06:03:35Z</dcterms:modified>
</cp:coreProperties>
</file>